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BBC4A" w14:textId="77777777" w:rsidR="004B4379" w:rsidRDefault="00000000" w:rsidP="008311A8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after="200"/>
        <w:rPr>
          <w:b/>
          <w:color w:val="432673"/>
          <w:sz w:val="40"/>
          <w:szCs w:val="40"/>
        </w:rPr>
      </w:pPr>
      <w:r>
        <w:rPr>
          <w:b/>
          <w:color w:val="432673"/>
          <w:sz w:val="40"/>
          <w:szCs w:val="40"/>
        </w:rPr>
        <w:t>Plenary answers</w:t>
      </w:r>
    </w:p>
    <w:p w14:paraId="06733EF9" w14:textId="77777777" w:rsidR="004B4379" w:rsidRPr="00F01249" w:rsidRDefault="00000000">
      <w:pPr>
        <w:ind w:left="284" w:hanging="284"/>
        <w:rPr>
          <w:bCs/>
        </w:rPr>
      </w:pPr>
      <w:bookmarkStart w:id="0" w:name="_xi2si9djooml" w:colFirst="0" w:colLast="0"/>
      <w:bookmarkEnd w:id="0"/>
      <w:r w:rsidRPr="00F01249">
        <w:rPr>
          <w:bCs/>
        </w:rPr>
        <w:t>1.</w:t>
      </w:r>
      <w:r w:rsidRPr="00F01249">
        <w:rPr>
          <w:bCs/>
        </w:rPr>
        <w:tab/>
        <w:t>What are the main differences between NEC and JCT contracts?</w:t>
      </w:r>
    </w:p>
    <w:p w14:paraId="0E439301" w14:textId="77777777" w:rsidR="004B4379" w:rsidRDefault="00000000" w:rsidP="00F01249">
      <w:pPr>
        <w:spacing w:after="0"/>
        <w:ind w:left="284"/>
        <w:rPr>
          <w:b/>
        </w:rPr>
      </w:pPr>
      <w:r>
        <w:rPr>
          <w:b/>
        </w:rPr>
        <w:t>JCT contracts:</w:t>
      </w:r>
    </w:p>
    <w:p w14:paraId="0ADDEC0D" w14:textId="77777777" w:rsidR="00A82C36" w:rsidRDefault="00A82C36" w:rsidP="00A82C36">
      <w:pPr>
        <w:pStyle w:val="ListParagraph"/>
        <w:numPr>
          <w:ilvl w:val="0"/>
          <w:numId w:val="7"/>
        </w:numPr>
      </w:pPr>
      <w:r>
        <w:t xml:space="preserve">Focus on </w:t>
      </w:r>
      <w:r w:rsidRPr="00A82C36">
        <w:rPr>
          <w:b/>
          <w:bCs/>
        </w:rPr>
        <w:t>clearly defining risks and responsibilities</w:t>
      </w:r>
      <w:r>
        <w:t xml:space="preserve"> between employer and contractor.</w:t>
      </w:r>
    </w:p>
    <w:p w14:paraId="7EB55D40" w14:textId="77777777" w:rsidR="00A82C36" w:rsidRDefault="00A82C36" w:rsidP="00A82C36">
      <w:pPr>
        <w:pStyle w:val="ListParagraph"/>
        <w:numPr>
          <w:ilvl w:val="0"/>
          <w:numId w:val="7"/>
        </w:numPr>
      </w:pPr>
      <w:r>
        <w:t xml:space="preserve">Best suited for </w:t>
      </w:r>
      <w:r w:rsidRPr="00A82C36">
        <w:rPr>
          <w:b/>
          <w:bCs/>
        </w:rPr>
        <w:t>well-defined projects</w:t>
      </w:r>
      <w:r>
        <w:t xml:space="preserve"> with minimal expected changes, such as office complexes.</w:t>
      </w:r>
    </w:p>
    <w:p w14:paraId="0EC758BD" w14:textId="77777777" w:rsidR="00A82C36" w:rsidRDefault="00A82C36" w:rsidP="00A82C36">
      <w:pPr>
        <w:pStyle w:val="ListParagraph"/>
        <w:numPr>
          <w:ilvl w:val="0"/>
          <w:numId w:val="7"/>
        </w:numPr>
      </w:pPr>
      <w:r>
        <w:t xml:space="preserve">Emphasise a </w:t>
      </w:r>
      <w:r w:rsidRPr="00A82C36">
        <w:rPr>
          <w:b/>
          <w:bCs/>
        </w:rPr>
        <w:t>structured framework</w:t>
      </w:r>
      <w:r>
        <w:t xml:space="preserve"> to ensure clarity for all parties, especially when multiple subcontractors are involved.</w:t>
      </w:r>
    </w:p>
    <w:p w14:paraId="10A40123" w14:textId="77777777" w:rsidR="00A82C36" w:rsidRDefault="00A82C36" w:rsidP="00A82C36">
      <w:pPr>
        <w:pStyle w:val="ListParagraph"/>
        <w:numPr>
          <w:ilvl w:val="0"/>
          <w:numId w:val="7"/>
        </w:numPr>
      </w:pPr>
      <w:r>
        <w:t xml:space="preserve">Strictly require </w:t>
      </w:r>
      <w:r w:rsidRPr="00A82C36">
        <w:rPr>
          <w:b/>
          <w:bCs/>
        </w:rPr>
        <w:t>documentation of all changes</w:t>
      </w:r>
      <w:r>
        <w:t>, making them less adaptable to unforeseen circumstances.</w:t>
      </w:r>
    </w:p>
    <w:p w14:paraId="52F5CAF2" w14:textId="77777777" w:rsidR="004B4379" w:rsidRDefault="00000000" w:rsidP="00F01249">
      <w:pPr>
        <w:spacing w:after="0"/>
        <w:ind w:left="284"/>
        <w:rPr>
          <w:b/>
        </w:rPr>
      </w:pPr>
      <w:r>
        <w:rPr>
          <w:b/>
        </w:rPr>
        <w:t>NEC contracts:</w:t>
      </w:r>
    </w:p>
    <w:p w14:paraId="3A778346" w14:textId="77777777" w:rsidR="004B4379" w:rsidRDefault="00000000" w:rsidP="00A82C3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Promote </w:t>
      </w:r>
      <w:r>
        <w:rPr>
          <w:b/>
        </w:rPr>
        <w:t>collaboration and adaptability</w:t>
      </w:r>
      <w:r>
        <w:t>, making them ideal for large-scale, complex infrastructure projects.</w:t>
      </w:r>
    </w:p>
    <w:p w14:paraId="15F3FAB6" w14:textId="77777777" w:rsidR="004B4379" w:rsidRDefault="00000000" w:rsidP="00A82C3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Emphasise </w:t>
      </w:r>
      <w:r>
        <w:rPr>
          <w:b/>
        </w:rPr>
        <w:t>flexibility and proactive problem-solving</w:t>
      </w:r>
      <w:r>
        <w:t>, allowing for smoother handling of unforeseen changes.</w:t>
      </w:r>
    </w:p>
    <w:p w14:paraId="4BE5C945" w14:textId="77777777" w:rsidR="004B4379" w:rsidRDefault="00000000" w:rsidP="00A82C3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Encourage </w:t>
      </w:r>
      <w:r>
        <w:rPr>
          <w:b/>
        </w:rPr>
        <w:t>ongoing dialogue</w:t>
      </w:r>
      <w:r>
        <w:t xml:space="preserve"> between parties to address variations effectively, as demonstrated in the London 2012 Olympics infrastructure projects.</w:t>
      </w:r>
    </w:p>
    <w:p w14:paraId="49673BE6" w14:textId="77777777" w:rsidR="004B4379" w:rsidRPr="00F01249" w:rsidRDefault="00000000">
      <w:pPr>
        <w:ind w:left="284" w:hanging="284"/>
        <w:rPr>
          <w:bCs/>
        </w:rPr>
      </w:pPr>
      <w:r w:rsidRPr="00F01249">
        <w:rPr>
          <w:bCs/>
        </w:rPr>
        <w:t>2.</w:t>
      </w:r>
      <w:r w:rsidRPr="00F01249">
        <w:rPr>
          <w:bCs/>
        </w:rPr>
        <w:tab/>
        <w:t>How do standard contracts help prevent misunderstandings in construction projects?</w:t>
      </w:r>
    </w:p>
    <w:p w14:paraId="1871CC9C" w14:textId="77777777" w:rsidR="004B4379" w:rsidRDefault="00000000" w:rsidP="00A82C3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Provide a </w:t>
      </w:r>
      <w:r>
        <w:rPr>
          <w:b/>
        </w:rPr>
        <w:t>clear framework</w:t>
      </w:r>
      <w:r>
        <w:t xml:space="preserve"> for project scope, timelines, financial details and responsibilities, reducing ambiguity.</w:t>
      </w:r>
    </w:p>
    <w:p w14:paraId="60C33F48" w14:textId="77777777" w:rsidR="004B4379" w:rsidRDefault="00000000" w:rsidP="00A82C3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Set widely understood and </w:t>
      </w:r>
      <w:r>
        <w:rPr>
          <w:b/>
        </w:rPr>
        <w:t>industry-standard terms</w:t>
      </w:r>
      <w:r>
        <w:t>, ensuring familiarity and agreement between parties.</w:t>
      </w:r>
    </w:p>
    <w:p w14:paraId="3D5F995A" w14:textId="77777777" w:rsidR="004B4379" w:rsidRDefault="00000000" w:rsidP="00A82C3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Outline </w:t>
      </w:r>
      <w:r>
        <w:rPr>
          <w:b/>
        </w:rPr>
        <w:t>risk allocation</w:t>
      </w:r>
      <w:r>
        <w:t xml:space="preserve"> clearly, minimising disputes over unexpected costs or responsibilities.</w:t>
      </w:r>
    </w:p>
    <w:p w14:paraId="178AF6A0" w14:textId="77777777" w:rsidR="004B4379" w:rsidRDefault="00000000" w:rsidP="00A82C3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Include </w:t>
      </w:r>
      <w:r>
        <w:rPr>
          <w:b/>
        </w:rPr>
        <w:t>dispute resolution procedures</w:t>
      </w:r>
      <w:r>
        <w:t>, helping resolve conflicts efficiently without lengthy legal battles.</w:t>
      </w:r>
    </w:p>
    <w:p w14:paraId="4924254D" w14:textId="77777777" w:rsidR="004B4379" w:rsidRDefault="00000000" w:rsidP="00A82C3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Save </w:t>
      </w:r>
      <w:r>
        <w:rPr>
          <w:b/>
        </w:rPr>
        <w:t>time and money</w:t>
      </w:r>
      <w:r>
        <w:t xml:space="preserve"> by avoiding the need to draft new agreements for every project, streamlining the process.</w:t>
      </w:r>
    </w:p>
    <w:p w14:paraId="0AB7D843" w14:textId="77777777" w:rsidR="004B4379" w:rsidRPr="00F01249" w:rsidRDefault="00000000">
      <w:pPr>
        <w:ind w:left="284" w:hanging="284"/>
        <w:rPr>
          <w:bCs/>
        </w:rPr>
      </w:pPr>
      <w:r w:rsidRPr="00F01249">
        <w:rPr>
          <w:bCs/>
        </w:rPr>
        <w:t>3.</w:t>
      </w:r>
      <w:r w:rsidRPr="00F01249">
        <w:rPr>
          <w:bCs/>
        </w:rPr>
        <w:tab/>
        <w:t>Why is risk management a crucial element in the construction contracts like NEC?</w:t>
      </w:r>
    </w:p>
    <w:p w14:paraId="49F03B49" w14:textId="77777777" w:rsidR="004B4379" w:rsidRDefault="00000000" w:rsidP="00A82C3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NEC contracts emphasise </w:t>
      </w:r>
      <w:r>
        <w:rPr>
          <w:b/>
        </w:rPr>
        <w:t>collaboration and adaptability</w:t>
      </w:r>
      <w:r>
        <w:t>, enabling effective risk-sharing.</w:t>
      </w:r>
    </w:p>
    <w:p w14:paraId="201F3B29" w14:textId="77777777" w:rsidR="004B4379" w:rsidRDefault="00000000" w:rsidP="00A82C3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By encouraging </w:t>
      </w:r>
      <w:r>
        <w:rPr>
          <w:b/>
        </w:rPr>
        <w:t>ongoing dialogue</w:t>
      </w:r>
      <w:r>
        <w:t>, NEC contracts help anticipate and manage risks as they arise, reducing potential delays or cost overruns.</w:t>
      </w:r>
    </w:p>
    <w:p w14:paraId="692D4CFD" w14:textId="771D4D2D" w:rsidR="00F01249" w:rsidRDefault="00000000" w:rsidP="00A82C3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For large-scale projects like the London 2012 Olympics, NEC contracts demonstrated their ability to accommodate </w:t>
      </w:r>
      <w:r>
        <w:rPr>
          <w:b/>
        </w:rPr>
        <w:t>unforeseen changes</w:t>
      </w:r>
      <w:r>
        <w:t xml:space="preserve"> without derailing project timelines or budgets.</w:t>
      </w:r>
    </w:p>
    <w:p w14:paraId="09EF6F7D" w14:textId="77777777" w:rsidR="004B4379" w:rsidRPr="00F01249" w:rsidRDefault="00000000">
      <w:pPr>
        <w:ind w:left="284" w:hanging="284"/>
        <w:rPr>
          <w:bCs/>
        </w:rPr>
      </w:pPr>
      <w:r w:rsidRPr="00F01249">
        <w:rPr>
          <w:bCs/>
        </w:rPr>
        <w:t>4.</w:t>
      </w:r>
      <w:r w:rsidRPr="00F01249">
        <w:rPr>
          <w:bCs/>
        </w:rPr>
        <w:tab/>
        <w:t>What benefits do JCT contracts offer in terms of defining roles and responsibilities?</w:t>
      </w:r>
    </w:p>
    <w:p w14:paraId="4194BF43" w14:textId="77777777" w:rsidR="004B4379" w:rsidRDefault="00000000" w:rsidP="00A82C3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Clearly allocate </w:t>
      </w:r>
      <w:r>
        <w:rPr>
          <w:b/>
        </w:rPr>
        <w:t>risks and responsibilities</w:t>
      </w:r>
      <w:r>
        <w:t xml:space="preserve"> between employer and contractor, ensuring all parties understand their duties.</w:t>
      </w:r>
    </w:p>
    <w:p w14:paraId="027A57AB" w14:textId="77777777" w:rsidR="004B4379" w:rsidRDefault="00000000" w:rsidP="00A82C3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lastRenderedPageBreak/>
        <w:t xml:space="preserve">JCT contracts use a </w:t>
      </w:r>
      <w:r>
        <w:rPr>
          <w:b/>
        </w:rPr>
        <w:t>structured framework</w:t>
      </w:r>
      <w:r>
        <w:t xml:space="preserve">, making it easier to manage projects with </w:t>
      </w:r>
      <w:r>
        <w:rPr>
          <w:b/>
        </w:rPr>
        <w:t>multiple subcontractors</w:t>
      </w:r>
      <w:r>
        <w:t>.</w:t>
      </w:r>
    </w:p>
    <w:p w14:paraId="2A81E4EF" w14:textId="77777777" w:rsidR="004B4379" w:rsidRDefault="00000000" w:rsidP="00A82C3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Their focus on </w:t>
      </w:r>
      <w:r>
        <w:rPr>
          <w:b/>
        </w:rPr>
        <w:t>clarity and definition</w:t>
      </w:r>
      <w:r>
        <w:t xml:space="preserve"> makes them suitable for projects with </w:t>
      </w:r>
      <w:r>
        <w:rPr>
          <w:b/>
        </w:rPr>
        <w:t>fixed</w:t>
      </w:r>
      <w:r>
        <w:t xml:space="preserve"> </w:t>
      </w:r>
      <w:r>
        <w:rPr>
          <w:b/>
        </w:rPr>
        <w:t>budgets and timelines</w:t>
      </w:r>
      <w:r>
        <w:t>, ensuring smooth co-ordination and accountability.</w:t>
      </w:r>
    </w:p>
    <w:p w14:paraId="543865F0" w14:textId="77777777" w:rsidR="004B4379" w:rsidRPr="00F01249" w:rsidRDefault="00000000">
      <w:pPr>
        <w:ind w:left="284" w:hanging="284"/>
        <w:rPr>
          <w:bCs/>
        </w:rPr>
      </w:pPr>
      <w:r w:rsidRPr="00F01249">
        <w:rPr>
          <w:bCs/>
        </w:rPr>
        <w:t>5.</w:t>
      </w:r>
      <w:r w:rsidRPr="00F01249">
        <w:rPr>
          <w:bCs/>
        </w:rPr>
        <w:tab/>
        <w:t>Why is the type of contract important when making variations to the contract?</w:t>
      </w:r>
    </w:p>
    <w:p w14:paraId="12AB931D" w14:textId="77777777" w:rsidR="004B4379" w:rsidRDefault="00000000" w:rsidP="00A82C3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Variations (scope changes) can significantly impact project costs and timelines, as seen in the Crossrail project.</w:t>
      </w:r>
    </w:p>
    <w:p w14:paraId="5B377ABA" w14:textId="77777777" w:rsidR="004B4379" w:rsidRDefault="00000000" w:rsidP="00A82C3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</w:rPr>
        <w:t>JCT contracts</w:t>
      </w:r>
      <w:r>
        <w:t xml:space="preserve"> require </w:t>
      </w:r>
      <w:r>
        <w:rPr>
          <w:b/>
        </w:rPr>
        <w:t>strict documentation</w:t>
      </w:r>
      <w:r>
        <w:t xml:space="preserve"> for all changes, ensuring accountability but making the process rigid.</w:t>
      </w:r>
    </w:p>
    <w:p w14:paraId="7A6C1E70" w14:textId="77777777" w:rsidR="004B4379" w:rsidRDefault="00000000" w:rsidP="00A82C3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</w:rPr>
        <w:t>NEC contracts</w:t>
      </w:r>
      <w:r>
        <w:t xml:space="preserve"> use a </w:t>
      </w:r>
      <w:r>
        <w:rPr>
          <w:b/>
        </w:rPr>
        <w:t>collaborative framework</w:t>
      </w:r>
      <w:r>
        <w:t xml:space="preserve"> that encourages continuous dialogue, making it easier to adapt to changes smoothly.</w:t>
      </w:r>
    </w:p>
    <w:p w14:paraId="334A178B" w14:textId="67FDFBEE" w:rsidR="004B4379" w:rsidRDefault="00000000" w:rsidP="00F0124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Choosing the right contract is critical for aligning with a project’s </w:t>
      </w:r>
      <w:r>
        <w:rPr>
          <w:b/>
        </w:rPr>
        <w:t>complexity</w:t>
      </w:r>
      <w:r>
        <w:t xml:space="preserve"> </w:t>
      </w:r>
      <w:r>
        <w:rPr>
          <w:b/>
        </w:rPr>
        <w:t>and</w:t>
      </w:r>
      <w:r>
        <w:t xml:space="preserve"> </w:t>
      </w:r>
      <w:r>
        <w:rPr>
          <w:b/>
        </w:rPr>
        <w:t>adaptability needs</w:t>
      </w:r>
      <w:r>
        <w:t>, ensuring effective management of changes.</w:t>
      </w:r>
    </w:p>
    <w:sectPr w:rsidR="004B437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DC712" w14:textId="77777777" w:rsidR="00F04B13" w:rsidRDefault="00F04B13">
      <w:pPr>
        <w:spacing w:after="0" w:line="240" w:lineRule="auto"/>
      </w:pPr>
      <w:r>
        <w:separator/>
      </w:r>
    </w:p>
  </w:endnote>
  <w:endnote w:type="continuationSeparator" w:id="0">
    <w:p w14:paraId="47D78FC8" w14:textId="77777777" w:rsidR="00F04B13" w:rsidRDefault="00F04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53FE549-50B8-4A75-B005-58BFC66545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D1CE9D6-C66B-4B99-A92B-C7C3C9E9705D}"/>
    <w:embedItalic r:id="rId3" w:fontKey="{CF1282EE-4608-40B3-9D99-9DB54A9C57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F2D94D6-ABA2-473F-A512-4C62242077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2EB7A2-3EE7-4102-9172-3D3CBCD406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59E75" w14:textId="77777777" w:rsidR="004B4379" w:rsidRDefault="004B437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2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4B4379" w14:paraId="0F40CD65" w14:textId="77777777">
      <w:tc>
        <w:tcPr>
          <w:tcW w:w="6508" w:type="dxa"/>
        </w:tcPr>
        <w:p w14:paraId="5F7CB011" w14:textId="77777777" w:rsidR="004B437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4D7B538B" w14:textId="77777777" w:rsidR="004B437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4414639F" w14:textId="77777777" w:rsidR="004B4379" w:rsidRDefault="004B437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5D3EB2FC" w14:textId="77777777" w:rsidR="004B43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1"/>
      <w:tblW w:w="9158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387"/>
      <w:gridCol w:w="3771"/>
    </w:tblGrid>
    <w:tr w:rsidR="004B4379" w14:paraId="05E74F52" w14:textId="77777777" w:rsidTr="00F01249">
      <w:tc>
        <w:tcPr>
          <w:tcW w:w="5387" w:type="dxa"/>
          <w:tcBorders>
            <w:bottom w:val="single" w:sz="12" w:space="0" w:color="EBDDF4"/>
          </w:tcBorders>
        </w:tcPr>
        <w:p w14:paraId="7528E989" w14:textId="77777777" w:rsidR="004B437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Construction: Law and contracts in construction</w:t>
          </w:r>
        </w:p>
        <w:p w14:paraId="3D942D46" w14:textId="77777777" w:rsidR="004B437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June 2025</w:t>
          </w:r>
        </w:p>
      </w:tc>
      <w:tc>
        <w:tcPr>
          <w:tcW w:w="3771" w:type="dxa"/>
          <w:tcBorders>
            <w:bottom w:val="single" w:sz="12" w:space="0" w:color="EBDDF4"/>
          </w:tcBorders>
          <w:vAlign w:val="bottom"/>
        </w:tcPr>
        <w:p w14:paraId="78999DAF" w14:textId="77777777" w:rsidR="004B4379" w:rsidRDefault="004B4379" w:rsidP="00F012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 w:line="240" w:lineRule="auto"/>
            <w:ind w:left="-385"/>
            <w:jc w:val="right"/>
            <w:rPr>
              <w:sz w:val="18"/>
              <w:szCs w:val="18"/>
            </w:rPr>
          </w:pPr>
        </w:p>
        <w:p w14:paraId="384338D0" w14:textId="77777777" w:rsidR="004B4379" w:rsidRDefault="00000000" w:rsidP="00F012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 w:line="240" w:lineRule="auto"/>
            <w:ind w:left="-385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15DAA268" w14:textId="77777777" w:rsidR="004B4379" w:rsidRDefault="004B437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p w14:paraId="7F952A4C" w14:textId="77777777" w:rsidR="004B43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A6A6A6"/>
        <w:sz w:val="20"/>
        <w:szCs w:val="20"/>
      </w:rPr>
    </w:pPr>
    <w:r>
      <w:rPr>
        <w:color w:val="A6A6A6"/>
        <w:sz w:val="20"/>
        <w:szCs w:val="20"/>
      </w:rPr>
      <w:fldChar w:fldCharType="begin"/>
    </w:r>
    <w:r>
      <w:rPr>
        <w:color w:val="A6A6A6"/>
        <w:sz w:val="20"/>
        <w:szCs w:val="20"/>
      </w:rPr>
      <w:instrText>PAGE</w:instrText>
    </w:r>
    <w:r>
      <w:rPr>
        <w:color w:val="A6A6A6"/>
        <w:sz w:val="20"/>
        <w:szCs w:val="20"/>
      </w:rPr>
      <w:fldChar w:fldCharType="separate"/>
    </w:r>
    <w:r w:rsidR="00A82C36">
      <w:rPr>
        <w:noProof/>
        <w:color w:val="A6A6A6"/>
        <w:sz w:val="20"/>
        <w:szCs w:val="20"/>
      </w:rPr>
      <w:t>1</w:t>
    </w:r>
    <w:r>
      <w:rPr>
        <w:color w:val="A6A6A6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4BA43" w14:textId="77777777" w:rsidR="004B4379" w:rsidRDefault="004B43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66F97" w14:textId="77777777" w:rsidR="00F04B13" w:rsidRDefault="00F04B13">
      <w:pPr>
        <w:spacing w:after="0" w:line="240" w:lineRule="auto"/>
      </w:pPr>
      <w:r>
        <w:separator/>
      </w:r>
    </w:p>
  </w:footnote>
  <w:footnote w:type="continuationSeparator" w:id="0">
    <w:p w14:paraId="58C46255" w14:textId="77777777" w:rsidR="00F04B13" w:rsidRDefault="00F04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FA2EF" w14:textId="77777777" w:rsidR="004B4379" w:rsidRDefault="004B437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4B4379" w14:paraId="26CADC57" w14:textId="77777777">
      <w:tc>
        <w:tcPr>
          <w:tcW w:w="1376" w:type="dxa"/>
        </w:tcPr>
        <w:p w14:paraId="283A64AC" w14:textId="77777777" w:rsidR="004B437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19CEEE98" wp14:editId="32A401EE">
                <wp:simplePos x="0" y="0"/>
                <wp:positionH relativeFrom="column">
                  <wp:posOffset>-6815</wp:posOffset>
                </wp:positionH>
                <wp:positionV relativeFrom="paragraph">
                  <wp:posOffset>-133293</wp:posOffset>
                </wp:positionV>
                <wp:extent cx="1137557" cy="477540"/>
                <wp:effectExtent l="0" t="0" r="0" b="0"/>
                <wp:wrapNone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6334D6A6" w14:textId="77777777" w:rsidR="004B437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7D1B9909" w14:textId="77777777" w:rsidR="004B437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4F73C900" w14:textId="77777777" w:rsidR="004B4379" w:rsidRDefault="004B437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004C9" w14:textId="77777777" w:rsidR="004B4379" w:rsidRDefault="004B437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4B4379" w14:paraId="4BF05D18" w14:textId="77777777">
      <w:tc>
        <w:tcPr>
          <w:tcW w:w="2127" w:type="dxa"/>
          <w:tcBorders>
            <w:bottom w:val="single" w:sz="12" w:space="0" w:color="EBDDF4"/>
          </w:tcBorders>
        </w:tcPr>
        <w:p w14:paraId="14D46764" w14:textId="77777777" w:rsidR="004B4379" w:rsidRDefault="004B43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pbnqg3ubszea" w:colFirst="0" w:colLast="0"/>
          <w:bookmarkEnd w:id="1"/>
        </w:p>
      </w:tc>
      <w:tc>
        <w:tcPr>
          <w:tcW w:w="6889" w:type="dxa"/>
          <w:tcBorders>
            <w:bottom w:val="single" w:sz="12" w:space="0" w:color="EBDDF4"/>
          </w:tcBorders>
        </w:tcPr>
        <w:p w14:paraId="338F2F09" w14:textId="77777777" w:rsidR="004B437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5: Why are standard forms of contract used in construction?</w:t>
          </w:r>
        </w:p>
        <w:p w14:paraId="170C3F98" w14:textId="77777777" w:rsidR="004B437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Plenary Worksheet answers</w:t>
          </w:r>
        </w:p>
      </w:tc>
    </w:tr>
  </w:tbl>
  <w:p w14:paraId="5F30485E" w14:textId="77777777" w:rsidR="004B43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8EAD097" wp14:editId="4351157C">
          <wp:simplePos x="0" y="0"/>
          <wp:positionH relativeFrom="column">
            <wp:posOffset>10</wp:posOffset>
          </wp:positionH>
          <wp:positionV relativeFrom="paragraph">
            <wp:posOffset>-601336</wp:posOffset>
          </wp:positionV>
          <wp:extent cx="1137557" cy="477540"/>
          <wp:effectExtent l="0" t="0" r="0" b="0"/>
          <wp:wrapNone/>
          <wp:docPr id="1" name="image1.png" descr="A black background with a black square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background with a black square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DD76B" w14:textId="77777777" w:rsidR="004B4379" w:rsidRDefault="004B43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C7B5D"/>
    <w:multiLevelType w:val="multilevel"/>
    <w:tmpl w:val="F3DCE1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C34787"/>
    <w:multiLevelType w:val="multilevel"/>
    <w:tmpl w:val="7166C2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B0B3BA6"/>
    <w:multiLevelType w:val="multilevel"/>
    <w:tmpl w:val="CACEDD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97F232A"/>
    <w:multiLevelType w:val="multilevel"/>
    <w:tmpl w:val="920693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BD01034"/>
    <w:multiLevelType w:val="multilevel"/>
    <w:tmpl w:val="65A60B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3D50AE6"/>
    <w:multiLevelType w:val="multilevel"/>
    <w:tmpl w:val="876CBA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01F03EE"/>
    <w:multiLevelType w:val="multilevel"/>
    <w:tmpl w:val="1194BD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2996BE6"/>
    <w:multiLevelType w:val="multilevel"/>
    <w:tmpl w:val="D632C7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39D2427"/>
    <w:multiLevelType w:val="multilevel"/>
    <w:tmpl w:val="0D5867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42C0E05"/>
    <w:multiLevelType w:val="hybridMultilevel"/>
    <w:tmpl w:val="26D62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CA44AE"/>
    <w:multiLevelType w:val="multilevel"/>
    <w:tmpl w:val="14DED0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79262DA"/>
    <w:multiLevelType w:val="multilevel"/>
    <w:tmpl w:val="38E64E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14010114">
    <w:abstractNumId w:val="1"/>
  </w:num>
  <w:num w:numId="2" w16cid:durableId="822239176">
    <w:abstractNumId w:val="11"/>
  </w:num>
  <w:num w:numId="3" w16cid:durableId="1833065926">
    <w:abstractNumId w:val="3"/>
  </w:num>
  <w:num w:numId="4" w16cid:durableId="1202670130">
    <w:abstractNumId w:val="0"/>
  </w:num>
  <w:num w:numId="5" w16cid:durableId="1891920823">
    <w:abstractNumId w:val="5"/>
  </w:num>
  <w:num w:numId="6" w16cid:durableId="355469776">
    <w:abstractNumId w:val="10"/>
  </w:num>
  <w:num w:numId="7" w16cid:durableId="1792892850">
    <w:abstractNumId w:val="9"/>
  </w:num>
  <w:num w:numId="8" w16cid:durableId="484978997">
    <w:abstractNumId w:val="8"/>
  </w:num>
  <w:num w:numId="9" w16cid:durableId="1257788125">
    <w:abstractNumId w:val="4"/>
  </w:num>
  <w:num w:numId="10" w16cid:durableId="53092767">
    <w:abstractNumId w:val="6"/>
  </w:num>
  <w:num w:numId="11" w16cid:durableId="144200718">
    <w:abstractNumId w:val="2"/>
  </w:num>
  <w:num w:numId="12" w16cid:durableId="6805451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379"/>
    <w:rsid w:val="004B4379"/>
    <w:rsid w:val="008311A8"/>
    <w:rsid w:val="00A80E3F"/>
    <w:rsid w:val="00A82C36"/>
    <w:rsid w:val="00E81BC3"/>
    <w:rsid w:val="00EA6C98"/>
    <w:rsid w:val="00F01249"/>
    <w:rsid w:val="00F04B13"/>
    <w:rsid w:val="00F50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C4EC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b/>
      <w:sz w:val="44"/>
      <w:szCs w:val="4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A82C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5605CC7-3EAC-4FD9-988D-F6D2F2ABDC19}"/>
</file>

<file path=customXml/itemProps2.xml><?xml version="1.0" encoding="utf-8"?>
<ds:datastoreItem xmlns:ds="http://schemas.openxmlformats.org/officeDocument/2006/customXml" ds:itemID="{F4735985-8647-4617-A29C-DC1847010818}"/>
</file>

<file path=customXml/itemProps3.xml><?xml version="1.0" encoding="utf-8"?>
<ds:datastoreItem xmlns:ds="http://schemas.openxmlformats.org/officeDocument/2006/customXml" ds:itemID="{51DEAC38-BB1E-4E12-99F0-F59088BA81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454</Words>
  <Characters>2594</Characters>
  <Application>Microsoft Office Word</Application>
  <DocSecurity>0</DocSecurity>
  <Lines>21</Lines>
  <Paragraphs>6</Paragraphs>
  <ScaleCrop>false</ScaleCrop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2025-06-24T14:32:00Z</dcterms:created>
  <dcterms:modified xsi:type="dcterms:W3CDTF">2025-06-24T14:32:00Z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